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7D0C">
      <w:pPr>
        <w:spacing w:line="220" w:lineRule="atLeast"/>
        <w:rPr>
          <w:b/>
          <w:color w:val="548DD4" w:themeColor="text2" w:themeTint="99"/>
        </w:rPr>
      </w:pPr>
    </w:p>
    <w:p w14:paraId="6185DA2D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 w:cs="Arial"/>
          <w:color w:val="000000"/>
          <w:sz w:val="27"/>
          <w:szCs w:val="27"/>
        </w:rPr>
        <w:t xml:space="preserve"> </w:t>
      </w:r>
      <w:r>
        <w:rPr>
          <w:b/>
          <w:color w:val="548DD4" w:themeColor="text2" w:themeTint="99"/>
        </w:rPr>
        <w:t>® Labels</w:t>
      </w:r>
    </w:p>
    <w:p w14:paraId="2411D6B0">
      <w:pPr>
        <w:spacing w:line="220" w:lineRule="atLeast"/>
      </w:pP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/>
        </w:rPr>
        <w:t xml:space="preserve"> 防震动标签和配套警示标签，会提醒每个处理你货物的人，该产品会因处理不当而受到监控。</w:t>
      </w:r>
    </w:p>
    <w:p w14:paraId="1A91D804">
      <w:pPr>
        <w:spacing w:line="220" w:lineRule="atLeast"/>
      </w:pPr>
      <w:r>
        <w:drawing>
          <wp:inline distT="0" distB="0" distL="0" distR="0">
            <wp:extent cx="5895975" cy="1504950"/>
            <wp:effectExtent l="19050" t="0" r="9123" b="0"/>
            <wp:docPr id="13" name="图片 2" descr="E:\公司文件\2011-4-5桌面备份\采购订单\IMPACT SEE\微信图片_2023110614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E:\公司文件\2011-4-5桌面备份\采购订单\IMPACT SEE\微信图片_20231106145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0220" cy="150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808F6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  <w:b/>
          <w:color w:val="548DD4" w:themeColor="text2" w:themeTint="99"/>
        </w:rPr>
        <w:t>降低损失、提高你的利润、保护你的投资。</w:t>
      </w:r>
    </w:p>
    <w:p w14:paraId="24170385">
      <w:pPr>
        <w:spacing w:line="220" w:lineRule="atLeast"/>
      </w:pP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/>
        </w:rPr>
        <w:t>防震动标签</w:t>
      </w:r>
      <w:r>
        <w:drawing>
          <wp:inline distT="0" distB="0" distL="0" distR="0">
            <wp:extent cx="676275" cy="624840"/>
            <wp:effectExtent l="19050" t="0" r="9525" b="0"/>
            <wp:docPr id="14" name="图片 3" descr="C:\Users\Administrator\Documents\WeChat Files\liyin190\FileStorage\Temp\1715823089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\Users\Administrator\Documents\WeChat Files\liyin190\FileStorage\Temp\17158230897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459" cy="625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通过中间白色玻璃晶体管的颜色变化</w:t>
      </w:r>
      <w:r>
        <w:drawing>
          <wp:inline distT="0" distB="0" distL="0" distR="0">
            <wp:extent cx="981075" cy="276860"/>
            <wp:effectExtent l="19050" t="0" r="9525" b="0"/>
            <wp:docPr id="3" name="图片 2" descr="C:\Users\Administrator\AppData\Local\Temp\15601295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AppData\Local\Temp\156012953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22" cy="27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来显示使用情况，防止操作不当，并降低与损坏相关的成本</w:t>
      </w:r>
    </w:p>
    <w:p w14:paraId="1CE0B8DA">
      <w:pPr>
        <w:spacing w:line="220" w:lineRule="atLeast"/>
      </w:pP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/>
        </w:rPr>
        <w:t>标签是防篡改的，在运输或储存过程中受到冲击和震动等破坏性影响时，</w:t>
      </w: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/>
        </w:rPr>
        <w:t>会变成鲜红色的机械装置。</w:t>
      </w:r>
    </w:p>
    <w:p w14:paraId="17970911">
      <w:pPr>
        <w:spacing w:line="220" w:lineRule="atLeast"/>
        <w:rPr>
          <w:b/>
          <w:color w:val="548DD4" w:themeColor="text2" w:themeTint="99"/>
        </w:rPr>
      </w:pPr>
    </w:p>
    <w:p w14:paraId="5825731D">
      <w:pPr>
        <w:spacing w:line="220" w:lineRule="atLeast"/>
        <w:rPr>
          <w:b/>
          <w:color w:val="548DD4" w:themeColor="text2" w:themeTint="99"/>
        </w:rPr>
      </w:pPr>
    </w:p>
    <w:p w14:paraId="12D979E6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  <w:b/>
          <w:color w:val="548DD4" w:themeColor="text2" w:themeTint="99"/>
        </w:rPr>
        <w:t>好处:</w:t>
      </w:r>
    </w:p>
    <w:p w14:paraId="0BCF6A66">
      <w:pPr>
        <w:spacing w:line="220" w:lineRule="atLeast"/>
      </w:pPr>
      <w:r>
        <w:rPr>
          <w:rFonts w:hint="eastAsia"/>
        </w:rPr>
        <w:t>•对不恰当的操作起到视觉威慑作用</w:t>
      </w:r>
    </w:p>
    <w:p w14:paraId="5D3FC2AE">
      <w:pPr>
        <w:spacing w:line="220" w:lineRule="atLeast"/>
      </w:pPr>
      <w:r>
        <w:rPr>
          <w:rFonts w:hint="eastAsia"/>
        </w:rPr>
        <w:t>•通过对货物的保护减少错误处理</w:t>
      </w:r>
    </w:p>
    <w:p w14:paraId="42D04EBD">
      <w:pPr>
        <w:spacing w:line="220" w:lineRule="atLeast"/>
      </w:pPr>
      <w:r>
        <w:rPr>
          <w:rFonts w:hint="eastAsia"/>
        </w:rPr>
        <w:t>•提供了处理不当产生的无可争辩的证据</w:t>
      </w:r>
    </w:p>
    <w:p w14:paraId="5C564F9A">
      <w:pPr>
        <w:spacing w:line="220" w:lineRule="atLeast"/>
      </w:pPr>
      <w:r>
        <w:rPr>
          <w:rFonts w:hint="eastAsia"/>
        </w:rPr>
        <w:t>•提醒收件人在接受之前检查内容</w:t>
      </w:r>
    </w:p>
    <w:p w14:paraId="1880DF30">
      <w:pPr>
        <w:spacing w:line="220" w:lineRule="atLeast"/>
      </w:pPr>
      <w:r>
        <w:rPr>
          <w:rFonts w:hint="eastAsia"/>
        </w:rPr>
        <w:t>•促进所有产品处理的责任链</w:t>
      </w:r>
    </w:p>
    <w:p w14:paraId="447523A5">
      <w:pPr>
        <w:spacing w:line="220" w:lineRule="atLeast"/>
      </w:pPr>
      <w:r>
        <w:rPr>
          <w:rFonts w:hint="eastAsia"/>
        </w:rPr>
        <w:t>•确认包装的有效性</w:t>
      </w:r>
    </w:p>
    <w:p w14:paraId="2F36F9CE">
      <w:pPr>
        <w:spacing w:line="220" w:lineRule="atLeast"/>
      </w:pPr>
      <w:r>
        <w:rPr>
          <w:rFonts w:hint="eastAsia"/>
        </w:rPr>
        <w:t>•帮助识别供应链中生产到运输和储存的问题点</w:t>
      </w:r>
    </w:p>
    <w:p w14:paraId="1E813643">
      <w:pPr>
        <w:spacing w:line="220" w:lineRule="atLeast"/>
      </w:pPr>
      <w:r>
        <w:rPr>
          <w:rFonts w:hint="eastAsia"/>
        </w:rPr>
        <w:t>•帮助提高产品从一个物流点到另一个物流点之间运输质量</w:t>
      </w:r>
    </w:p>
    <w:p w14:paraId="7442675F">
      <w:pPr>
        <w:spacing w:line="220" w:lineRule="atLeast"/>
      </w:pPr>
    </w:p>
    <w:p w14:paraId="0888369E">
      <w:pPr>
        <w:spacing w:line="220" w:lineRule="atLeast"/>
      </w:pPr>
    </w:p>
    <w:p w14:paraId="3AF52722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  <w:b/>
          <w:color w:val="548DD4" w:themeColor="text2" w:themeTint="99"/>
        </w:rPr>
        <w:t>仓储</w:t>
      </w:r>
    </w:p>
    <w:p w14:paraId="1E5E7053">
      <w:pPr>
        <w:spacing w:line="220" w:lineRule="atLeast"/>
      </w:pPr>
      <w:r>
        <w:rPr>
          <w:rFonts w:hint="eastAsia"/>
        </w:rPr>
        <w:t>•请在常温下（25℃）保存，常温下保存年限为两年，如冷藏更佳。</w:t>
      </w:r>
    </w:p>
    <w:p w14:paraId="4DB61109">
      <w:pPr>
        <w:spacing w:line="220" w:lineRule="atLeast"/>
      </w:pPr>
      <w:r>
        <w:rPr>
          <w:rFonts w:hint="eastAsia"/>
        </w:rPr>
        <w:t>•不可存放于腐蚀性气体介质；液体中（如油、药液、有机溶液等）；多尘、不清洁的场所；曝露于日光直射的场所；</w:t>
      </w:r>
    </w:p>
    <w:p w14:paraId="698FF34D">
      <w:pPr>
        <w:spacing w:line="220" w:lineRule="atLeast"/>
      </w:pPr>
      <w:r>
        <w:rPr>
          <w:rFonts w:hint="eastAsia"/>
        </w:rPr>
        <w:t>•请勿拆动，保持产品完整；拆除了保护纸的产品开始启动功能，造成不必要的浪费；</w:t>
      </w:r>
    </w:p>
    <w:p w14:paraId="375881E1">
      <w:pPr>
        <w:spacing w:line="220" w:lineRule="atLeast"/>
      </w:pPr>
      <w:r>
        <w:rPr>
          <w:rFonts w:hint="eastAsia"/>
        </w:rPr>
        <w:t>•基于产品的特有性质，请小心轻放；</w:t>
      </w:r>
    </w:p>
    <w:p w14:paraId="6591D34C">
      <w:pPr>
        <w:spacing w:line="220" w:lineRule="atLeast"/>
      </w:pPr>
      <w:r>
        <w:rPr>
          <w:rFonts w:hint="eastAsia"/>
        </w:rPr>
        <w:t>•必须在交货后两年内使用。</w:t>
      </w:r>
    </w:p>
    <w:p w14:paraId="5749AF12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  <w:b/>
          <w:color w:val="548DD4" w:themeColor="text2" w:themeTint="99"/>
        </w:rPr>
        <w:t>选择指南</w:t>
      </w:r>
    </w:p>
    <w:p w14:paraId="29B5EC5A">
      <w:pPr>
        <w:spacing w:line="220" w:lineRule="atLeast"/>
        <w:rPr>
          <w:b/>
          <w:color w:val="548DD4" w:themeColor="text2" w:themeTint="99"/>
        </w:rPr>
      </w:pPr>
      <w:r>
        <w:rPr>
          <w:rFonts w:hint="eastAsia"/>
        </w:rPr>
        <w:t>要开始选择</w:t>
      </w:r>
      <w:r>
        <w:rPr>
          <w:rFonts w:hint="eastAsia"/>
          <w:b/>
          <w:color w:val="548DD4" w:themeColor="text2" w:themeTint="99"/>
        </w:rPr>
        <w:t>ImpactSee</w:t>
      </w:r>
      <w:r>
        <w:rPr>
          <w:rFonts w:hint="eastAsia"/>
        </w:rPr>
        <w:t>冲击指示器灵敏度，您需要知道两件事:货物大小和重量。选择指南只是作为一个参考。实际使用还要考虑到产品的易损性和包装情况，来选择具体规格和相应G值的标签。</w:t>
      </w:r>
    </w:p>
    <w:tbl>
      <w:tblPr>
        <w:tblStyle w:val="5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472"/>
        <w:gridCol w:w="1417"/>
        <w:gridCol w:w="1567"/>
        <w:gridCol w:w="1566"/>
        <w:gridCol w:w="1567"/>
      </w:tblGrid>
      <w:tr w14:paraId="48C0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3B84453">
            <w:pPr>
              <w:jc w:val="center"/>
            </w:pPr>
            <w:r>
              <w:rPr>
                <w:rFonts w:hint="eastAsia"/>
              </w:rPr>
              <w:t>重量(lbs英磅)货品尺寸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2A1F143">
            <w:pPr>
              <w:jc w:val="center"/>
              <w:rPr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0 - 1 ft</w:t>
            </w:r>
            <w:r>
              <w:rPr>
                <w:rFonts w:hint="eastAsia" w:ascii="宋体" w:hAnsi="宋体"/>
                <w:sz w:val="16"/>
                <w:szCs w:val="16"/>
              </w:rPr>
              <w:t>（立方英尺）/0-0.03立方米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FDD8D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1～5 ft/0.03-14立方米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8B2F9D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5-15ft /0.14-0.42立方米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4C3BA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15-50ft/0.42-1.42立方米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1FA28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50+ft/1.42+</w:t>
            </w:r>
            <w:r>
              <w:rPr>
                <w:rFonts w:hint="eastAsia" w:ascii="微软雅黑" w:hAnsi="微软雅黑"/>
                <w:sz w:val="16"/>
                <w:szCs w:val="16"/>
              </w:rPr>
              <w:t>立方米</w:t>
            </w:r>
          </w:p>
        </w:tc>
      </w:tr>
      <w:tr w14:paraId="367E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3F02C71B">
            <w:pPr>
              <w:jc w:val="center"/>
            </w:pPr>
            <w:r>
              <w:rPr>
                <w:rFonts w:hint="eastAsia"/>
              </w:rPr>
              <w:t>0-10lbs/0-5KG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14:paraId="1F2DC7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L-30(100G)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14:paraId="36FCAD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L-30(100G)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0C5E9A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1FA4EE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16F671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</w:tr>
      <w:tr w14:paraId="0BE4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71AF345C">
            <w:pPr>
              <w:jc w:val="center"/>
            </w:pPr>
            <w:r>
              <w:rPr>
                <w:rFonts w:hint="eastAsia"/>
              </w:rPr>
              <w:t>10-25lbs /5-11KG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14:paraId="2A6FD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L-30(100G)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39AD86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419220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29E42C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7A6A75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</w:tr>
      <w:tr w14:paraId="7F82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5A89DCAC">
            <w:pPr>
              <w:jc w:val="center"/>
            </w:pPr>
            <w:r>
              <w:rPr>
                <w:rFonts w:hint="eastAsia"/>
              </w:rPr>
              <w:t>25-50lbs /11-23KG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38630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026AB8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51B3BE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0702E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2EA6B3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</w:tr>
      <w:tr w14:paraId="0DE1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31A2D0F3">
            <w:pPr>
              <w:jc w:val="center"/>
            </w:pPr>
            <w:r>
              <w:rPr>
                <w:rFonts w:hint="eastAsia"/>
              </w:rPr>
              <w:t>50-100lbs/23-45KG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E36C09" w:themeFill="accent6" w:themeFillShade="BF"/>
            <w:vAlign w:val="center"/>
          </w:tcPr>
          <w:p w14:paraId="078F8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L-35(75G)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090B93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6FECE2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34C069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094E55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</w:tr>
      <w:tr w14:paraId="184C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1D757B43">
            <w:pPr>
              <w:jc w:val="center"/>
            </w:pPr>
            <w:r>
              <w:rPr>
                <w:rFonts w:hint="eastAsia"/>
              </w:rPr>
              <w:t>100-250lbs/45-113KG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1628E7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39224B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0B09DA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716760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 w14:paraId="3924D2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</w:tr>
      <w:tr w14:paraId="38E7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4BE13AF3">
            <w:pPr>
              <w:jc w:val="center"/>
            </w:pPr>
            <w:r>
              <w:rPr>
                <w:rFonts w:hint="eastAsia"/>
              </w:rPr>
              <w:t>250-1000lbs/113-454KG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3D77F289">
            <w:pPr>
              <w:jc w:val="center"/>
              <w:rPr>
                <w:b/>
                <w:highlight w:val="yellow"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14:paraId="238A2F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L-47(50G)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7030A0"/>
            <w:vAlign w:val="center"/>
          </w:tcPr>
          <w:p w14:paraId="16D9A9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  <w:tc>
          <w:tcPr>
            <w:tcW w:w="156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 w14:paraId="2B8CDB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 w14:paraId="316525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</w:tr>
      <w:tr w14:paraId="625C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256" w:type="dxa"/>
            <w:shd w:val="clear" w:color="auto" w:fill="D8D8D8" w:themeFill="background1" w:themeFillShade="D9"/>
            <w:vAlign w:val="center"/>
          </w:tcPr>
          <w:p w14:paraId="70D53B00">
            <w:pPr>
              <w:jc w:val="center"/>
            </w:pPr>
            <w:r>
              <w:rPr>
                <w:rFonts w:hint="eastAsia"/>
              </w:rPr>
              <w:t>1000Ibs+/454KG+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EBA978C">
            <w:pPr>
              <w:jc w:val="center"/>
            </w:pPr>
            <w:r>
              <w:rPr>
                <w:rFonts w:hint="eastAsia"/>
              </w:rPr>
              <w:t>---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3A5CFF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L-55(37G)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4BC789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  <w:tc>
          <w:tcPr>
            <w:tcW w:w="1566" w:type="dxa"/>
            <w:shd w:val="clear" w:color="auto" w:fill="FFFF00"/>
            <w:vAlign w:val="center"/>
          </w:tcPr>
          <w:p w14:paraId="0857B4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4FFF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L-65(25G)</w:t>
            </w:r>
          </w:p>
        </w:tc>
      </w:tr>
    </w:tbl>
    <w:p w14:paraId="17943F75">
      <w:pPr>
        <w:spacing w:line="220" w:lineRule="atLeast"/>
      </w:pPr>
      <w:r>
        <w:rPr>
          <w:rFonts w:hint="eastAsia"/>
        </w:rPr>
        <w:t xml:space="preserve">  1英磅（Lbs）=0.4536KG         1立方英尺（</w:t>
      </w:r>
      <w:r>
        <w:t>cubic feet</w:t>
      </w:r>
      <w:r>
        <w:rPr>
          <w:rFonts w:hint="eastAsia"/>
        </w:rPr>
        <w:t>）=0.028立方米</w:t>
      </w:r>
    </w:p>
    <w:p w14:paraId="6C2EE143">
      <w:pPr>
        <w:spacing w:line="220" w:lineRule="atLeast"/>
      </w:pPr>
    </w:p>
    <w:p w14:paraId="0B7EC89B">
      <w:pPr>
        <w:spacing w:line="220" w:lineRule="atLeast"/>
      </w:pPr>
    </w:p>
    <w:tbl>
      <w:tblPr>
        <w:tblStyle w:val="5"/>
        <w:tblW w:w="82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5400"/>
      </w:tblGrid>
      <w:tr w14:paraId="119C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79E6F31C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FFFFFF"/>
              </w:rPr>
            </w:pPr>
            <w:bookmarkStart w:id="0" w:name="_GoBack"/>
            <w:r>
              <w:rPr>
                <w:rFonts w:hint="eastAsia" w:ascii="宋体" w:hAnsi="宋体" w:eastAsia="宋体" w:cs="Tahoma"/>
                <w:color w:val="FFFFFF"/>
              </w:rPr>
              <w:t>主要规格</w:t>
            </w:r>
          </w:p>
        </w:tc>
      </w:tr>
      <w:tr w14:paraId="117F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FEDA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灵敏度范围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823B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25-100G</w:t>
            </w:r>
          </w:p>
        </w:tc>
      </w:tr>
      <w:tr w14:paraId="25AB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19D4F65E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震动发生时间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523B7047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0.5-50</w:t>
            </w:r>
            <w:r>
              <w:rPr>
                <w:rFonts w:hint="eastAsia" w:ascii="宋体" w:hAnsi="宋体" w:eastAsia="宋体" w:cs="Tahoma"/>
                <w:color w:val="000000"/>
              </w:rPr>
              <w:t>毫秒</w:t>
            </w:r>
          </w:p>
        </w:tc>
      </w:tr>
      <w:tr w14:paraId="0678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01B2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精度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8FCC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±15% at 20°C / 68°F, 1</w:t>
            </w:r>
            <w:r>
              <w:rPr>
                <w:rFonts w:hint="eastAsia" w:ascii="宋体" w:hAnsi="宋体" w:eastAsia="宋体" w:cs="Tahoma"/>
                <w:color w:val="000000"/>
              </w:rPr>
              <w:t>个标准大气压下</w:t>
            </w:r>
          </w:p>
        </w:tc>
      </w:tr>
      <w:tr w14:paraId="28BBB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5F47FCEA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工作温度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7BFF6602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‘-13°F to 176°F/-25°C to 80°C</w:t>
            </w:r>
          </w:p>
        </w:tc>
      </w:tr>
      <w:tr w14:paraId="27298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955FF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重量（随G值大小变化）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71EE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~2.37g</w:t>
            </w:r>
          </w:p>
        </w:tc>
      </w:tr>
      <w:tr w14:paraId="2800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44A03BCD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尺寸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7DB95D19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>110</w:t>
            </w:r>
            <w:r>
              <w:rPr>
                <w:rFonts w:eastAsia="宋体" w:cs="Tahoma"/>
                <w:color w:val="000000"/>
              </w:rPr>
              <w:t xml:space="preserve"> mm x </w:t>
            </w:r>
            <w:r>
              <w:rPr>
                <w:rFonts w:hint="eastAsia" w:eastAsia="宋体" w:cs="Tahoma"/>
                <w:color w:val="000000"/>
              </w:rPr>
              <w:t>98</w:t>
            </w:r>
            <w:r>
              <w:rPr>
                <w:rFonts w:eastAsia="宋体" w:cs="Tahoma"/>
                <w:color w:val="000000"/>
              </w:rPr>
              <w:t xml:space="preserve"> mm</w:t>
            </w:r>
          </w:p>
        </w:tc>
      </w:tr>
      <w:tr w14:paraId="1D8F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3B57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安全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B1E3F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防篡改</w:t>
            </w:r>
            <w:r>
              <w:rPr>
                <w:rFonts w:eastAsia="宋体" w:cs="Tahoma"/>
                <w:color w:val="000000"/>
              </w:rPr>
              <w:t>/</w:t>
            </w:r>
            <w:r>
              <w:rPr>
                <w:rFonts w:hint="eastAsia" w:ascii="宋体" w:hAnsi="宋体" w:eastAsia="宋体" w:cs="Tahoma"/>
                <w:color w:val="000000"/>
              </w:rPr>
              <w:t>序列号</w:t>
            </w:r>
            <w:r>
              <w:rPr>
                <w:rFonts w:eastAsia="宋体" w:cs="Tahoma"/>
                <w:color w:val="000000"/>
              </w:rPr>
              <w:t>(</w:t>
            </w:r>
            <w:r>
              <w:rPr>
                <w:rFonts w:hint="eastAsia" w:ascii="宋体" w:hAnsi="宋体" w:eastAsia="宋体" w:cs="Tahoma"/>
                <w:color w:val="000000"/>
              </w:rPr>
              <w:t>选配）</w:t>
            </w:r>
            <w:r>
              <w:rPr>
                <w:rFonts w:eastAsia="宋体" w:cs="Tahoma"/>
                <w:color w:val="000000"/>
              </w:rPr>
              <w:t>/</w:t>
            </w:r>
            <w:r>
              <w:rPr>
                <w:rFonts w:hint="eastAsia" w:ascii="宋体" w:hAnsi="宋体" w:eastAsia="宋体" w:cs="Tahoma"/>
                <w:color w:val="000000"/>
              </w:rPr>
              <w:t>二维码</w:t>
            </w:r>
          </w:p>
        </w:tc>
      </w:tr>
      <w:tr w14:paraId="7CF3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64C897AE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胶粘剂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16B93B64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Acrylic/</w:t>
            </w:r>
            <w:r>
              <w:rPr>
                <w:rFonts w:hint="eastAsia" w:ascii="宋体" w:hAnsi="宋体" w:eastAsia="宋体" w:cs="Tahoma"/>
                <w:color w:val="000000"/>
              </w:rPr>
              <w:t>丙烯酸</w:t>
            </w:r>
          </w:p>
        </w:tc>
      </w:tr>
      <w:tr w14:paraId="2DAD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8760B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保质期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FE8A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20°C / 68°F, 1 ATM</w:t>
            </w:r>
            <w:r>
              <w:rPr>
                <w:rFonts w:hint="eastAsia" w:ascii="宋体" w:hAnsi="宋体" w:eastAsia="宋体" w:cs="Tahoma"/>
                <w:color w:val="000000"/>
              </w:rPr>
              <w:t>下，自销售日起两年</w:t>
            </w:r>
          </w:p>
        </w:tc>
      </w:tr>
      <w:tr w14:paraId="13CF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000C4A5D">
            <w:pPr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存储和建议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6BF30626">
            <w:pPr>
              <w:adjustRightInd/>
              <w:snapToGrid/>
              <w:spacing w:after="0"/>
              <w:jc w:val="both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20°C / 68°F 1 ATM </w:t>
            </w:r>
            <w:r>
              <w:rPr>
                <w:rFonts w:hint="eastAsia" w:ascii="宋体" w:hAnsi="宋体" w:eastAsia="宋体" w:cs="Tahoma"/>
                <w:color w:val="000000"/>
              </w:rPr>
              <w:t>下</w:t>
            </w:r>
            <w:r>
              <w:rPr>
                <w:rFonts w:eastAsia="宋体" w:cs="Tahoma"/>
                <w:color w:val="000000"/>
              </w:rPr>
              <w:t>0-99% RH</w:t>
            </w:r>
            <w:r>
              <w:rPr>
                <w:rFonts w:hint="eastAsia" w:ascii="宋体" w:hAnsi="宋体" w:eastAsia="宋体" w:cs="Tahoma"/>
                <w:color w:val="000000"/>
              </w:rPr>
              <w:t>无凝结</w:t>
            </w:r>
          </w:p>
        </w:tc>
      </w:tr>
      <w:bookmarkEnd w:id="0"/>
    </w:tbl>
    <w:p w14:paraId="680ED251">
      <w:pPr>
        <w:spacing w:line="220" w:lineRule="atLeast"/>
      </w:pPr>
    </w:p>
    <w:tbl>
      <w:tblPr>
        <w:tblStyle w:val="5"/>
        <w:tblW w:w="5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1080"/>
      </w:tblGrid>
      <w:tr w14:paraId="2998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bottom"/>
          </w:tcPr>
          <w:p w14:paraId="133FA784">
            <w:pPr>
              <w:adjustRightInd/>
              <w:snapToGrid/>
              <w:spacing w:after="0"/>
              <w:rPr>
                <w:rFonts w:ascii="宋体" w:hAnsi="宋体" w:eastAsia="宋体" w:cs="Tahoma"/>
                <w:color w:val="FFFFFF"/>
              </w:rPr>
            </w:pPr>
            <w:r>
              <w:rPr>
                <w:rFonts w:hint="eastAsia" w:ascii="宋体" w:hAnsi="宋体" w:eastAsia="宋体" w:cs="Tahoma"/>
                <w:color w:val="FFFFFF"/>
              </w:rPr>
              <w:t>产品名称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bottom"/>
          </w:tcPr>
          <w:p w14:paraId="436B8838">
            <w:pPr>
              <w:adjustRightInd/>
              <w:snapToGrid/>
              <w:spacing w:after="0"/>
              <w:jc w:val="right"/>
              <w:rPr>
                <w:rFonts w:ascii="宋体" w:hAnsi="宋体" w:eastAsia="宋体" w:cs="Tahoma"/>
                <w:color w:val="FFFFFF"/>
              </w:rPr>
            </w:pPr>
            <w:r>
              <w:rPr>
                <w:rFonts w:hint="eastAsia" w:ascii="宋体" w:hAnsi="宋体" w:eastAsia="宋体" w:cs="Tahoma"/>
                <w:color w:val="FFFFFF"/>
              </w:rPr>
              <w:t>物料号</w:t>
            </w:r>
          </w:p>
        </w:tc>
      </w:tr>
      <w:tr w14:paraId="75453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ADE8F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L-30 </w:t>
            </w:r>
            <w:r>
              <w:rPr>
                <w:rFonts w:hint="eastAsia" w:eastAsia="宋体" w:cs="Tahoma"/>
                <w:color w:val="000000"/>
              </w:rPr>
              <w:t xml:space="preserve">IMPACTSEE </w:t>
            </w:r>
            <w:r>
              <w:rPr>
                <w:rFonts w:eastAsia="宋体" w:cs="Tahoma"/>
                <w:color w:val="000000"/>
              </w:rPr>
              <w:t>Label - 100G (Green)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73DFA">
            <w:pPr>
              <w:wordWrap w:val="0"/>
              <w:adjustRightInd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 xml:space="preserve"> </w:t>
            </w:r>
          </w:p>
        </w:tc>
      </w:tr>
      <w:tr w14:paraId="2BA06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FDB3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L-35 </w:t>
            </w:r>
            <w:r>
              <w:rPr>
                <w:rFonts w:hint="eastAsia" w:eastAsia="宋体" w:cs="Tahoma"/>
                <w:color w:val="000000"/>
              </w:rPr>
              <w:t>IMPACTSEE</w:t>
            </w:r>
            <w:r>
              <w:rPr>
                <w:rFonts w:eastAsia="宋体" w:cs="Tahoma"/>
                <w:color w:val="000000"/>
              </w:rPr>
              <w:t xml:space="preserve"> Label - 75G (Orange)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8BA61">
            <w:pPr>
              <w:wordWrap w:val="0"/>
              <w:adjustRightInd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 xml:space="preserve"> </w:t>
            </w:r>
          </w:p>
        </w:tc>
      </w:tr>
      <w:tr w14:paraId="75AA2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B320B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L-47 </w:t>
            </w:r>
            <w:r>
              <w:rPr>
                <w:rFonts w:hint="eastAsia" w:eastAsia="宋体" w:cs="Tahoma"/>
                <w:color w:val="000000"/>
              </w:rPr>
              <w:t>IMPACTSEE</w:t>
            </w:r>
            <w:r>
              <w:rPr>
                <w:rFonts w:eastAsia="宋体" w:cs="Tahoma"/>
                <w:color w:val="000000"/>
              </w:rPr>
              <w:t xml:space="preserve"> Label - 50G (Red)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92387">
            <w:pPr>
              <w:wordWrap w:val="0"/>
              <w:adjustRightInd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 xml:space="preserve"> </w:t>
            </w:r>
          </w:p>
        </w:tc>
      </w:tr>
      <w:tr w14:paraId="6872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03A75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>L-55</w:t>
            </w:r>
            <w:r>
              <w:rPr>
                <w:rFonts w:hint="eastAsia" w:eastAsia="宋体" w:cs="Tahoma"/>
                <w:color w:val="000000"/>
              </w:rPr>
              <w:t xml:space="preserve"> IMPACTSEE</w:t>
            </w:r>
            <w:r>
              <w:rPr>
                <w:rFonts w:eastAsia="宋体" w:cs="Tahoma"/>
                <w:color w:val="000000"/>
              </w:rPr>
              <w:t xml:space="preserve"> Label - 37G (Purple)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EDFAC">
            <w:pPr>
              <w:wordWrap w:val="0"/>
              <w:adjustRightInd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 xml:space="preserve"> </w:t>
            </w:r>
          </w:p>
        </w:tc>
      </w:tr>
      <w:tr w14:paraId="48F9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783D8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L-65 </w:t>
            </w:r>
            <w:r>
              <w:rPr>
                <w:rFonts w:hint="eastAsia" w:eastAsia="宋体" w:cs="Tahoma"/>
                <w:color w:val="000000"/>
              </w:rPr>
              <w:t>IMPACTSEE</w:t>
            </w:r>
            <w:r>
              <w:rPr>
                <w:rFonts w:eastAsia="宋体" w:cs="Tahoma"/>
                <w:color w:val="000000"/>
              </w:rPr>
              <w:t xml:space="preserve"> Label - 25G (Yellow)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F3318">
            <w:pPr>
              <w:adjustRightInd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 w14:paraId="5519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611F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最低订购数量</w:t>
            </w:r>
            <w:r>
              <w:rPr>
                <w:rFonts w:eastAsia="宋体" w:cs="Tahoma"/>
                <w:color w:val="000000"/>
              </w:rPr>
              <w:t>:100</w:t>
            </w:r>
            <w:r>
              <w:rPr>
                <w:rFonts w:hint="eastAsia" w:ascii="宋体" w:hAnsi="宋体" w:eastAsia="宋体" w:cs="Tahoma"/>
                <w:color w:val="000000"/>
              </w:rPr>
              <w:t>个</w:t>
            </w:r>
          </w:p>
        </w:tc>
      </w:tr>
    </w:tbl>
    <w:p w14:paraId="00831A02">
      <w:pPr>
        <w:spacing w:line="220" w:lineRule="atLeast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2BEA">
    <w:pPr>
      <w:pStyle w:val="3"/>
    </w:pPr>
    <w:r>
      <w:rPr>
        <w:rFonts w:hint="eastAsia"/>
      </w:rPr>
      <w:drawing>
        <wp:inline distT="0" distB="0" distL="0" distR="0">
          <wp:extent cx="254000" cy="381000"/>
          <wp:effectExtent l="19050" t="0" r="0" b="0"/>
          <wp:docPr id="20" name="图片 1" descr="E:\公司文件\2011-4-5桌面备份\2019年5月淘宝网店制作\防震动标签系列\SHOCKWATCH防震动标签\1里面的两种做到一个产品链接里面\ShockWatch label\rohs_rgb_black-12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1" descr="E:\公司文件\2011-4-5桌面备份\2019年5月淘宝网店制作\防震动标签系列\SHOCKWATCH防震动标签\1里面的两种做到一个产品链接里面\ShockWatch label\rohs_rgb_black-120px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254000" cy="381000"/>
          <wp:effectExtent l="19050" t="0" r="0" b="0"/>
          <wp:docPr id="21" name="图片 15" descr="reach_rgb_black_09-27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15" descr="reach_rgb_black_09-27-1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250825" cy="375920"/>
          <wp:effectExtent l="19050" t="0" r="0" b="0"/>
          <wp:docPr id="22" name="图片 16" descr="sw221_cmrt_badge_black_r1v1_12-18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16" descr="sw221_cmrt_badge_black_r1v1_12-18-18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0825" cy="376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>http://www.prmierse.com/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3242">
    <w:pPr>
      <w:pStyle w:val="4"/>
      <w:jc w:val="left"/>
    </w:pPr>
    <w:r>
      <w:drawing>
        <wp:inline distT="0" distB="0" distL="0" distR="0">
          <wp:extent cx="1685925" cy="313055"/>
          <wp:effectExtent l="19050" t="0" r="9525" b="0"/>
          <wp:docPr id="2" name="图片 7" descr="E:\公司文件\2011-4-5桌面备份\普米尔斯公司资料\公司logo\普米尔斯logo-不带渐变符号[转换]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7" descr="E:\公司文件\2011-4-5桌面备份\普米尔斯公司资料\公司logo\普米尔斯logo-不带渐变符号[转换]_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925" cy="31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AxM2FjNDZlMTJiNmEwZWY4NmRkOTAwODIxYWRkOGUifQ=="/>
  </w:docVars>
  <w:rsids>
    <w:rsidRoot w:val="00D31D50"/>
    <w:rsid w:val="00002B13"/>
    <w:rsid w:val="00012DCE"/>
    <w:rsid w:val="0001304B"/>
    <w:rsid w:val="001D2165"/>
    <w:rsid w:val="002663E6"/>
    <w:rsid w:val="00282074"/>
    <w:rsid w:val="002B0E35"/>
    <w:rsid w:val="00323B43"/>
    <w:rsid w:val="00382C05"/>
    <w:rsid w:val="003D37D8"/>
    <w:rsid w:val="003F636D"/>
    <w:rsid w:val="004041B4"/>
    <w:rsid w:val="004112A0"/>
    <w:rsid w:val="00426133"/>
    <w:rsid w:val="004358AB"/>
    <w:rsid w:val="005071B8"/>
    <w:rsid w:val="00536281"/>
    <w:rsid w:val="005A0FEF"/>
    <w:rsid w:val="005B4911"/>
    <w:rsid w:val="00667D56"/>
    <w:rsid w:val="006813A3"/>
    <w:rsid w:val="006A7957"/>
    <w:rsid w:val="006C3B06"/>
    <w:rsid w:val="00725C53"/>
    <w:rsid w:val="00735CFB"/>
    <w:rsid w:val="0073790B"/>
    <w:rsid w:val="007F15B8"/>
    <w:rsid w:val="00836E7A"/>
    <w:rsid w:val="00837CF7"/>
    <w:rsid w:val="00890C37"/>
    <w:rsid w:val="008B7726"/>
    <w:rsid w:val="00905C60"/>
    <w:rsid w:val="00906216"/>
    <w:rsid w:val="00992E3D"/>
    <w:rsid w:val="00993AC1"/>
    <w:rsid w:val="00A339C3"/>
    <w:rsid w:val="00A75915"/>
    <w:rsid w:val="00A8262B"/>
    <w:rsid w:val="00BD5F31"/>
    <w:rsid w:val="00D31D50"/>
    <w:rsid w:val="00DE087C"/>
    <w:rsid w:val="00E21413"/>
    <w:rsid w:val="00EE6BE8"/>
    <w:rsid w:val="00F35156"/>
    <w:rsid w:val="7B45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1524</Characters>
  <Lines>12</Lines>
  <Paragraphs>3</Paragraphs>
  <TotalTime>18</TotalTime>
  <ScaleCrop>false</ScaleCrop>
  <LinksUpToDate>false</LinksUpToDate>
  <CharactersWithSpaces>1598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2024-05-16T01:34:00Z</dcterms:created>
  <dc:creator>Administrator</dc:creator>
  <cp:lastModifiedBy>夏云</cp:lastModifiedBy>
  <cp:lastPrinted>2019-06-10T07:01:00Z</cp:lastPrinted>
  <dcterms:modified xsi:type="dcterms:W3CDTF">2024-11-19T06:17:33Z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43F5B6F09A3F4894B7AE0678D7BDA7EE_12</vt:lpwstr>
  </property>
</Properties>
</file>